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sz w:val="40"/>
        </w:rPr>
      </w:pPr>
      <w:r>
        <w:rPr>
          <w:rFonts w:hint="eastAsia" w:ascii="宋体" w:hAnsi="宋体" w:eastAsia="宋体"/>
          <w:sz w:val="40"/>
        </w:rPr>
        <w:t>浙江交通技师学院信息化运行维护方案</w:t>
      </w:r>
    </w:p>
    <w:p>
      <w:pPr>
        <w:spacing w:line="360" w:lineRule="auto"/>
        <w:ind w:firstLine="560" w:firstLineChars="200"/>
        <w:rPr>
          <w:rFonts w:hint="eastAsia" w:ascii="宋体" w:hAnsi="宋体" w:eastAsia="宋体"/>
          <w:color w:val="000000"/>
          <w:sz w:val="28"/>
          <w:szCs w:val="28"/>
        </w:rPr>
      </w:pPr>
    </w:p>
    <w:p>
      <w:pPr>
        <w:spacing w:line="360" w:lineRule="auto"/>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带“★”号的条款为实质性必须满足条款，不允许负偏离，否则为无效投标处理；</w:t>
      </w:r>
    </w:p>
    <w:p>
      <w:pPr>
        <w:pStyle w:val="2"/>
        <w:numPr>
          <w:ilvl w:val="0"/>
          <w:numId w:val="1"/>
        </w:numPr>
        <w:rPr>
          <w:rFonts w:ascii="宋体" w:hAnsi="宋体" w:eastAsia="宋体"/>
          <w:sz w:val="32"/>
          <w:szCs w:val="28"/>
        </w:rPr>
      </w:pPr>
      <w:r>
        <w:rPr>
          <w:rFonts w:hint="eastAsia" w:ascii="宋体" w:hAnsi="宋体" w:eastAsia="宋体" w:cs="Arial"/>
          <w:color w:val="000000"/>
          <w:sz w:val="32"/>
          <w:szCs w:val="28"/>
        </w:rPr>
        <w:t>★</w:t>
      </w:r>
      <w:r>
        <w:rPr>
          <w:rFonts w:hint="eastAsia" w:ascii="宋体" w:hAnsi="宋体" w:eastAsia="宋体"/>
          <w:sz w:val="32"/>
          <w:szCs w:val="28"/>
        </w:rPr>
        <w:t>公司资质</w:t>
      </w:r>
    </w:p>
    <w:p>
      <w:pPr>
        <w:spacing w:line="360" w:lineRule="auto"/>
        <w:ind w:firstLine="560" w:firstLineChars="200"/>
        <w:rPr>
          <w:rFonts w:ascii="宋体" w:hAnsi="宋体" w:eastAsia="宋体"/>
          <w:color w:val="000000"/>
          <w:sz w:val="28"/>
          <w:szCs w:val="28"/>
        </w:rPr>
      </w:pPr>
      <w:r>
        <w:rPr>
          <w:rFonts w:hint="eastAsia" w:ascii="宋体" w:hAnsi="宋体" w:eastAsia="宋体"/>
          <w:color w:val="000000"/>
          <w:sz w:val="28"/>
          <w:szCs w:val="28"/>
        </w:rPr>
        <w:t>中标单位必须具有计算机信息系统集成三级（含</w:t>
      </w:r>
      <w:r>
        <w:rPr>
          <w:rFonts w:ascii="宋体" w:hAnsi="宋体" w:eastAsia="宋体"/>
          <w:color w:val="000000"/>
          <w:sz w:val="28"/>
          <w:szCs w:val="28"/>
        </w:rPr>
        <w:t>）</w:t>
      </w:r>
      <w:r>
        <w:rPr>
          <w:rFonts w:hint="eastAsia" w:ascii="宋体" w:hAnsi="宋体" w:eastAsia="宋体"/>
          <w:color w:val="000000"/>
          <w:sz w:val="28"/>
          <w:szCs w:val="28"/>
        </w:rPr>
        <w:t>以上资质。</w:t>
      </w:r>
    </w:p>
    <w:p>
      <w:pPr>
        <w:spacing w:line="360" w:lineRule="auto"/>
        <w:ind w:firstLine="560" w:firstLineChars="200"/>
        <w:rPr>
          <w:rFonts w:ascii="宋体" w:hAnsi="宋体" w:eastAsia="宋体"/>
          <w:color w:val="000000"/>
          <w:sz w:val="28"/>
          <w:szCs w:val="28"/>
        </w:rPr>
      </w:pPr>
      <w:r>
        <w:rPr>
          <w:rFonts w:hint="eastAsia" w:ascii="宋体" w:hAnsi="宋体" w:eastAsia="宋体"/>
          <w:color w:val="000000"/>
          <w:sz w:val="28"/>
          <w:szCs w:val="28"/>
        </w:rPr>
        <w:t>中标单位必须具备本地化服务能力。</w:t>
      </w:r>
    </w:p>
    <w:p>
      <w:pPr>
        <w:pStyle w:val="2"/>
        <w:numPr>
          <w:ilvl w:val="0"/>
          <w:numId w:val="1"/>
        </w:numPr>
        <w:rPr>
          <w:rFonts w:ascii="宋体" w:hAnsi="宋体" w:eastAsia="宋体"/>
          <w:sz w:val="32"/>
          <w:szCs w:val="28"/>
        </w:rPr>
      </w:pPr>
      <w:r>
        <w:rPr>
          <w:rFonts w:hint="eastAsia" w:ascii="宋体" w:hAnsi="宋体" w:eastAsia="宋体" w:cs="Arial"/>
          <w:color w:val="000000"/>
          <w:sz w:val="32"/>
          <w:szCs w:val="28"/>
        </w:rPr>
        <w:t>★</w:t>
      </w:r>
      <w:r>
        <w:rPr>
          <w:rFonts w:hint="eastAsia" w:ascii="宋体" w:hAnsi="宋体" w:eastAsia="宋体"/>
          <w:sz w:val="32"/>
          <w:szCs w:val="28"/>
        </w:rPr>
        <w:t>技术力量</w:t>
      </w:r>
    </w:p>
    <w:p>
      <w:pPr>
        <w:spacing w:line="360" w:lineRule="auto"/>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中标单位服务团队须具有信息系统中、高级项目管理师≥</w:t>
      </w:r>
      <w:r>
        <w:rPr>
          <w:rFonts w:ascii="宋体" w:hAnsi="宋体" w:eastAsia="宋体" w:cs="Arial"/>
          <w:color w:val="000000"/>
          <w:sz w:val="28"/>
          <w:szCs w:val="28"/>
        </w:rPr>
        <w:t>2</w:t>
      </w:r>
      <w:r>
        <w:rPr>
          <w:rFonts w:hint="eastAsia" w:ascii="宋体" w:hAnsi="宋体" w:eastAsia="宋体" w:cs="Arial"/>
          <w:color w:val="000000"/>
          <w:sz w:val="28"/>
          <w:szCs w:val="28"/>
        </w:rPr>
        <w:t>名；中、高级网络工程师≥1名；</w:t>
      </w:r>
      <w:r>
        <w:rPr>
          <w:rFonts w:hint="eastAsia" w:ascii="宋体" w:hAnsi="宋体" w:cs="宋体"/>
          <w:color w:val="0000FF"/>
          <w:sz w:val="24"/>
        </w:rPr>
        <w:t>H3C网络高级工程师≥1名</w:t>
      </w:r>
      <w:r>
        <w:rPr>
          <w:rFonts w:hint="eastAsia" w:ascii="宋体" w:hAnsi="宋体" w:eastAsia="宋体" w:cs="Arial"/>
          <w:color w:val="000000"/>
          <w:sz w:val="28"/>
          <w:szCs w:val="28"/>
        </w:rPr>
        <w:t>。以上证书签订合同时必须提供证书原件（有效期内）及社保证明，否则中标结果无效。</w:t>
      </w:r>
      <w:bookmarkStart w:id="0" w:name="_GoBack"/>
      <w:bookmarkEnd w:id="0"/>
    </w:p>
    <w:p>
      <w:pPr>
        <w:pStyle w:val="2"/>
        <w:numPr>
          <w:ilvl w:val="0"/>
          <w:numId w:val="1"/>
        </w:numPr>
        <w:rPr>
          <w:rFonts w:ascii="宋体" w:hAnsi="宋体" w:eastAsia="宋体"/>
          <w:sz w:val="32"/>
          <w:szCs w:val="28"/>
        </w:rPr>
      </w:pPr>
      <w:r>
        <w:rPr>
          <w:rFonts w:hint="eastAsia" w:ascii="宋体" w:hAnsi="宋体" w:eastAsia="宋体" w:cs="Arial"/>
          <w:color w:val="000000"/>
          <w:sz w:val="32"/>
          <w:szCs w:val="28"/>
        </w:rPr>
        <w:t>★</w:t>
      </w:r>
      <w:r>
        <w:rPr>
          <w:rFonts w:hint="eastAsia" w:ascii="宋体" w:hAnsi="宋体" w:eastAsia="宋体"/>
          <w:sz w:val="32"/>
          <w:szCs w:val="28"/>
        </w:rPr>
        <w:t>同类项目业绩</w:t>
      </w:r>
    </w:p>
    <w:p>
      <w:pPr>
        <w:spacing w:line="360" w:lineRule="auto"/>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中标单位须提供近三年内同类信息化系统维护项目且金额大于15万元（含）以上的合同案例不少于3个。签订合同时必须提供案例合同原件，否则中标结果无效。</w:t>
      </w:r>
    </w:p>
    <w:p>
      <w:pPr>
        <w:pStyle w:val="2"/>
        <w:numPr>
          <w:ilvl w:val="0"/>
          <w:numId w:val="1"/>
        </w:numPr>
        <w:rPr>
          <w:rFonts w:ascii="宋体" w:hAnsi="宋体" w:eastAsia="宋体"/>
          <w:sz w:val="32"/>
          <w:szCs w:val="28"/>
        </w:rPr>
      </w:pPr>
      <w:r>
        <w:rPr>
          <w:rFonts w:hint="eastAsia" w:ascii="宋体" w:hAnsi="宋体" w:eastAsia="宋体"/>
          <w:sz w:val="32"/>
          <w:szCs w:val="28"/>
        </w:rPr>
        <w:t>服务内容</w:t>
      </w:r>
    </w:p>
    <w:p>
      <w:pPr>
        <w:pStyle w:val="3"/>
        <w:rPr>
          <w:rFonts w:ascii="宋体" w:hAnsi="宋体" w:eastAsia="宋体"/>
          <w:sz w:val="28"/>
          <w:szCs w:val="28"/>
        </w:rPr>
      </w:pPr>
      <w:r>
        <w:rPr>
          <w:rFonts w:hint="eastAsia" w:ascii="宋体" w:hAnsi="宋体" w:eastAsia="宋体"/>
          <w:sz w:val="28"/>
          <w:szCs w:val="28"/>
        </w:rPr>
        <w:t>4.1</w:t>
      </w:r>
      <w:r>
        <w:rPr>
          <w:rFonts w:ascii="宋体" w:hAnsi="宋体" w:eastAsia="宋体"/>
          <w:sz w:val="28"/>
          <w:szCs w:val="28"/>
        </w:rPr>
        <w:t xml:space="preserve"> </w:t>
      </w:r>
      <w:r>
        <w:rPr>
          <w:rFonts w:hint="eastAsia" w:ascii="宋体" w:hAnsi="宋体" w:eastAsia="宋体"/>
          <w:sz w:val="28"/>
          <w:szCs w:val="28"/>
        </w:rPr>
        <w:t>服务范围</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本项目服务期为我方与中标方合同签订之日起（或合同另行规定日期）</w:t>
      </w:r>
      <w:r>
        <w:rPr>
          <w:rFonts w:ascii="宋体" w:hAnsi="宋体" w:eastAsia="宋体" w:cs="Arial"/>
          <w:color w:val="000000"/>
          <w:sz w:val="28"/>
          <w:szCs w:val="28"/>
        </w:rPr>
        <w:t>1</w:t>
      </w:r>
      <w:r>
        <w:rPr>
          <w:rFonts w:hint="eastAsia" w:ascii="宋体" w:hAnsi="宋体" w:eastAsia="宋体" w:cs="Arial"/>
          <w:color w:val="000000"/>
          <w:sz w:val="28"/>
          <w:szCs w:val="28"/>
        </w:rPr>
        <w:t>年。服务范围包括：服务器、交换机、存储、负载均衡、防火墙、流控等设备的硬件运维和技术保障服务，现根据重要性将设备进行分级，详细清单如下：</w:t>
      </w:r>
    </w:p>
    <w:tbl>
      <w:tblPr>
        <w:tblStyle w:val="8"/>
        <w:tblW w:w="10205" w:type="dxa"/>
        <w:jc w:val="center"/>
        <w:tblInd w:w="0" w:type="dxa"/>
        <w:tblLayout w:type="fixed"/>
        <w:tblCellMar>
          <w:top w:w="0" w:type="dxa"/>
          <w:left w:w="108" w:type="dxa"/>
          <w:bottom w:w="0" w:type="dxa"/>
          <w:right w:w="108" w:type="dxa"/>
        </w:tblCellMar>
      </w:tblPr>
      <w:tblGrid>
        <w:gridCol w:w="710"/>
        <w:gridCol w:w="1137"/>
        <w:gridCol w:w="2449"/>
        <w:gridCol w:w="2792"/>
        <w:gridCol w:w="784"/>
        <w:gridCol w:w="1066"/>
        <w:gridCol w:w="1267"/>
      </w:tblGrid>
      <w:tr>
        <w:tblPrEx>
          <w:tblLayout w:type="fixed"/>
          <w:tblCellMar>
            <w:top w:w="0" w:type="dxa"/>
            <w:left w:w="108" w:type="dxa"/>
            <w:bottom w:w="0" w:type="dxa"/>
            <w:right w:w="108" w:type="dxa"/>
          </w:tblCellMar>
        </w:tblPrEx>
        <w:trPr>
          <w:trHeight w:val="34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品牌</w:t>
            </w:r>
          </w:p>
        </w:tc>
        <w:tc>
          <w:tcPr>
            <w:tcW w:w="2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设备名称</w:t>
            </w:r>
          </w:p>
        </w:tc>
        <w:tc>
          <w:tcPr>
            <w:tcW w:w="27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设备型号</w:t>
            </w:r>
          </w:p>
        </w:tc>
        <w:tc>
          <w:tcPr>
            <w:tcW w:w="7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数量</w:t>
            </w:r>
          </w:p>
        </w:tc>
        <w:tc>
          <w:tcPr>
            <w:tcW w:w="10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重要性级别</w:t>
            </w:r>
          </w:p>
        </w:tc>
        <w:tc>
          <w:tcPr>
            <w:tcW w:w="126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备注</w:t>
            </w: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1</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网神</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网神SecGate防火墙</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3600-G30</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1</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一级</w:t>
            </w:r>
          </w:p>
        </w:tc>
        <w:tc>
          <w:tcPr>
            <w:tcW w:w="1267" w:type="dxa"/>
            <w:tcBorders>
              <w:top w:val="nil"/>
              <w:left w:val="nil"/>
              <w:bottom w:val="single" w:color="auto" w:sz="4" w:space="0"/>
              <w:right w:val="single" w:color="auto" w:sz="4" w:space="0"/>
            </w:tcBorders>
          </w:tcPr>
          <w:p>
            <w:pPr>
              <w:widowControl/>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2</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Radware</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服务器负载均衡设备</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RadwareAteom</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1</w:t>
            </w:r>
          </w:p>
        </w:tc>
        <w:tc>
          <w:tcPr>
            <w:tcW w:w="1066" w:type="dxa"/>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Arial"/>
                <w:color w:val="000000"/>
                <w:sz w:val="24"/>
                <w:szCs w:val="28"/>
              </w:rPr>
              <w:t>一级</w:t>
            </w:r>
          </w:p>
        </w:tc>
        <w:tc>
          <w:tcPr>
            <w:tcW w:w="1267" w:type="dxa"/>
            <w:tcBorders>
              <w:top w:val="nil"/>
              <w:left w:val="nil"/>
              <w:bottom w:val="single" w:color="auto" w:sz="4" w:space="0"/>
              <w:right w:val="single" w:color="auto" w:sz="4" w:space="0"/>
            </w:tcBorders>
          </w:tcPr>
          <w:p>
            <w:pPr>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3</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联想</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虚拟化平台主存储</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LenovoEMCVNX_5200</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1</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二级</w:t>
            </w:r>
          </w:p>
        </w:tc>
        <w:tc>
          <w:tcPr>
            <w:tcW w:w="1267" w:type="dxa"/>
            <w:tcBorders>
              <w:top w:val="nil"/>
              <w:left w:val="nil"/>
              <w:bottom w:val="single" w:color="auto" w:sz="4" w:space="0"/>
              <w:right w:val="single" w:color="auto" w:sz="4" w:space="0"/>
            </w:tcBorders>
          </w:tcPr>
          <w:p>
            <w:pPr>
              <w:widowControl/>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4</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联想</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虚拟化平台服务器</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LenovoThinkServer RQ940</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5</w:t>
            </w:r>
          </w:p>
        </w:tc>
        <w:tc>
          <w:tcPr>
            <w:tcW w:w="1066" w:type="dxa"/>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Arial"/>
                <w:color w:val="000000"/>
                <w:sz w:val="24"/>
                <w:szCs w:val="28"/>
              </w:rPr>
              <w:t>二级</w:t>
            </w:r>
          </w:p>
        </w:tc>
        <w:tc>
          <w:tcPr>
            <w:tcW w:w="1267" w:type="dxa"/>
            <w:tcBorders>
              <w:top w:val="nil"/>
              <w:left w:val="nil"/>
              <w:bottom w:val="single" w:color="auto" w:sz="4" w:space="0"/>
              <w:right w:val="single" w:color="auto" w:sz="4" w:space="0"/>
            </w:tcBorders>
          </w:tcPr>
          <w:p>
            <w:pPr>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5</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联想</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FC光纤交换机</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LenovoBrocade 300E</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1</w:t>
            </w:r>
          </w:p>
        </w:tc>
        <w:tc>
          <w:tcPr>
            <w:tcW w:w="1066" w:type="dxa"/>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Arial"/>
                <w:color w:val="000000"/>
                <w:sz w:val="24"/>
                <w:szCs w:val="28"/>
              </w:rPr>
              <w:t>二级</w:t>
            </w:r>
          </w:p>
        </w:tc>
        <w:tc>
          <w:tcPr>
            <w:tcW w:w="1267" w:type="dxa"/>
            <w:tcBorders>
              <w:top w:val="nil"/>
              <w:left w:val="nil"/>
              <w:bottom w:val="single" w:color="auto" w:sz="4" w:space="0"/>
              <w:right w:val="single" w:color="auto" w:sz="4" w:space="0"/>
            </w:tcBorders>
          </w:tcPr>
          <w:p>
            <w:pPr>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6</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Qlogic</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FC光纤交换机</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QLOGIC SANbox 5800V</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1</w:t>
            </w:r>
          </w:p>
        </w:tc>
        <w:tc>
          <w:tcPr>
            <w:tcW w:w="1066" w:type="dxa"/>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Arial"/>
                <w:color w:val="000000"/>
                <w:sz w:val="24"/>
                <w:szCs w:val="28"/>
              </w:rPr>
              <w:t>二级</w:t>
            </w:r>
          </w:p>
        </w:tc>
        <w:tc>
          <w:tcPr>
            <w:tcW w:w="1267" w:type="dxa"/>
            <w:tcBorders>
              <w:top w:val="nil"/>
              <w:left w:val="nil"/>
              <w:bottom w:val="single" w:color="auto" w:sz="4" w:space="0"/>
              <w:right w:val="single" w:color="auto" w:sz="4" w:space="0"/>
            </w:tcBorders>
          </w:tcPr>
          <w:p>
            <w:pPr>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7</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联想</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服务器</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联想ThinkServer</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6</w:t>
            </w:r>
          </w:p>
        </w:tc>
        <w:tc>
          <w:tcPr>
            <w:tcW w:w="1066" w:type="dxa"/>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Arial"/>
                <w:color w:val="000000"/>
                <w:sz w:val="24"/>
                <w:szCs w:val="28"/>
              </w:rPr>
              <w:t>二级</w:t>
            </w:r>
          </w:p>
        </w:tc>
        <w:tc>
          <w:tcPr>
            <w:tcW w:w="1267" w:type="dxa"/>
            <w:tcBorders>
              <w:top w:val="nil"/>
              <w:left w:val="nil"/>
              <w:bottom w:val="single" w:color="auto" w:sz="4" w:space="0"/>
              <w:right w:val="single" w:color="auto" w:sz="4" w:space="0"/>
            </w:tcBorders>
          </w:tcPr>
          <w:p>
            <w:pPr>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8</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H3C</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交换机</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H3C LS5500-28C-EI</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2</w:t>
            </w:r>
          </w:p>
        </w:tc>
        <w:tc>
          <w:tcPr>
            <w:tcW w:w="1066" w:type="dxa"/>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Arial"/>
                <w:color w:val="000000"/>
                <w:sz w:val="24"/>
                <w:szCs w:val="28"/>
              </w:rPr>
              <w:t>三级</w:t>
            </w:r>
          </w:p>
        </w:tc>
        <w:tc>
          <w:tcPr>
            <w:tcW w:w="1267" w:type="dxa"/>
            <w:tcBorders>
              <w:top w:val="nil"/>
              <w:left w:val="nil"/>
              <w:bottom w:val="single" w:color="auto" w:sz="4" w:space="0"/>
              <w:right w:val="single" w:color="auto" w:sz="4" w:space="0"/>
            </w:tcBorders>
          </w:tcPr>
          <w:p>
            <w:pPr>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9</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H3C</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交换机</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H3C S5500-28C</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3</w:t>
            </w:r>
          </w:p>
        </w:tc>
        <w:tc>
          <w:tcPr>
            <w:tcW w:w="1066" w:type="dxa"/>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Arial"/>
                <w:color w:val="000000"/>
                <w:sz w:val="24"/>
                <w:szCs w:val="28"/>
              </w:rPr>
              <w:t>三级</w:t>
            </w:r>
          </w:p>
        </w:tc>
        <w:tc>
          <w:tcPr>
            <w:tcW w:w="1267" w:type="dxa"/>
            <w:tcBorders>
              <w:top w:val="nil"/>
              <w:left w:val="nil"/>
              <w:bottom w:val="single" w:color="auto" w:sz="4" w:space="0"/>
              <w:right w:val="single" w:color="auto" w:sz="4" w:space="0"/>
            </w:tcBorders>
          </w:tcPr>
          <w:p>
            <w:pPr>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10</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H3C</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接入交换机</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H3C S5500-28C-EI</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2</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四级</w:t>
            </w:r>
          </w:p>
        </w:tc>
        <w:tc>
          <w:tcPr>
            <w:tcW w:w="1267" w:type="dxa"/>
            <w:tcBorders>
              <w:top w:val="nil"/>
              <w:left w:val="nil"/>
              <w:bottom w:val="single" w:color="auto" w:sz="4" w:space="0"/>
              <w:right w:val="single" w:color="auto" w:sz="4" w:space="0"/>
            </w:tcBorders>
          </w:tcPr>
          <w:p>
            <w:pPr>
              <w:widowControl/>
              <w:jc w:val="center"/>
              <w:rPr>
                <w:rFonts w:ascii="宋体" w:hAnsi="宋体" w:eastAsia="宋体" w:cs="Arial"/>
                <w:color w:val="000000"/>
                <w:sz w:val="24"/>
                <w:szCs w:val="28"/>
              </w:rPr>
            </w:pPr>
          </w:p>
        </w:tc>
      </w:tr>
      <w:tr>
        <w:tblPrEx>
          <w:tblLayout w:type="fixed"/>
          <w:tblCellMar>
            <w:top w:w="0" w:type="dxa"/>
            <w:left w:w="108" w:type="dxa"/>
            <w:bottom w:w="0" w:type="dxa"/>
            <w:right w:w="108" w:type="dxa"/>
          </w:tblCellMar>
        </w:tblPrEx>
        <w:trPr>
          <w:trHeight w:val="34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11</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H3C</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网络交换机</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sz w:val="24"/>
                <w:szCs w:val="28"/>
              </w:rPr>
            </w:pPr>
            <w:r>
              <w:rPr>
                <w:rFonts w:hint="eastAsia" w:ascii="宋体" w:hAnsi="宋体" w:eastAsia="宋体" w:cs="Arial"/>
                <w:color w:val="000000"/>
                <w:sz w:val="24"/>
                <w:szCs w:val="28"/>
              </w:rPr>
              <w:t>H3C S5120-48P-EI</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6</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sz w:val="24"/>
                <w:szCs w:val="28"/>
              </w:rPr>
            </w:pPr>
            <w:r>
              <w:rPr>
                <w:rFonts w:hint="eastAsia" w:ascii="宋体" w:hAnsi="宋体" w:eastAsia="宋体" w:cs="Arial"/>
                <w:color w:val="000000"/>
                <w:sz w:val="24"/>
                <w:szCs w:val="28"/>
              </w:rPr>
              <w:t>四级</w:t>
            </w:r>
          </w:p>
        </w:tc>
        <w:tc>
          <w:tcPr>
            <w:tcW w:w="1267" w:type="dxa"/>
            <w:tcBorders>
              <w:top w:val="nil"/>
              <w:left w:val="nil"/>
              <w:bottom w:val="single" w:color="auto" w:sz="4" w:space="0"/>
              <w:right w:val="single" w:color="auto" w:sz="4" w:space="0"/>
            </w:tcBorders>
          </w:tcPr>
          <w:p>
            <w:pPr>
              <w:widowControl/>
              <w:jc w:val="center"/>
              <w:rPr>
                <w:rFonts w:ascii="宋体" w:hAnsi="宋体" w:eastAsia="宋体" w:cs="Arial"/>
                <w:color w:val="000000"/>
                <w:sz w:val="24"/>
                <w:szCs w:val="28"/>
              </w:rPr>
            </w:pPr>
          </w:p>
        </w:tc>
      </w:tr>
    </w:tbl>
    <w:p>
      <w:pPr>
        <w:pStyle w:val="3"/>
        <w:rPr>
          <w:rFonts w:ascii="宋体" w:hAnsi="宋体" w:eastAsia="宋体"/>
        </w:rPr>
      </w:pPr>
      <w:r>
        <w:rPr>
          <w:rFonts w:hint="eastAsia" w:ascii="宋体" w:hAnsi="宋体" w:eastAsia="宋体"/>
        </w:rPr>
        <w:t>4.2</w:t>
      </w:r>
      <w:r>
        <w:rPr>
          <w:rFonts w:ascii="宋体" w:hAnsi="宋体" w:eastAsia="宋体"/>
        </w:rPr>
        <w:t xml:space="preserve"> </w:t>
      </w:r>
      <w:r>
        <w:rPr>
          <w:rFonts w:hint="eastAsia" w:ascii="宋体" w:hAnsi="宋体" w:eastAsia="宋体"/>
        </w:rPr>
        <w:t>服务内容</w:t>
      </w:r>
    </w:p>
    <w:p>
      <w:pPr>
        <w:ind w:firstLine="560" w:firstLineChars="200"/>
        <w:rPr>
          <w:rFonts w:ascii="宋体" w:hAnsi="宋体" w:eastAsia="宋体" w:cs="Arial"/>
          <w:color w:val="000000"/>
          <w:sz w:val="28"/>
          <w:szCs w:val="28"/>
        </w:rPr>
      </w:pPr>
      <w:r>
        <w:rPr>
          <w:rFonts w:ascii="宋体" w:hAnsi="宋体" w:eastAsia="宋体"/>
          <w:sz w:val="28"/>
          <w:szCs w:val="28"/>
        </w:rPr>
        <w:t>1</w:t>
      </w:r>
      <w:r>
        <w:rPr>
          <w:rFonts w:hint="eastAsia" w:ascii="宋体" w:hAnsi="宋体" w:eastAsia="宋体"/>
          <w:sz w:val="28"/>
          <w:szCs w:val="28"/>
        </w:rPr>
        <w:t>．</w:t>
      </w:r>
      <w:r>
        <w:rPr>
          <w:rFonts w:hint="eastAsia" w:ascii="宋体" w:hAnsi="宋体" w:eastAsia="宋体" w:cs="Arial"/>
          <w:color w:val="000000"/>
          <w:sz w:val="28"/>
          <w:szCs w:val="28"/>
        </w:rPr>
        <w:t>硬件维修：为清单内设备提供续保或原厂商配件进行维修更换，所产生的一切费用由负责中标单位承担。若24小时内不能修复的，由中标单位免费提供备件，最大程度减少业务受影响时间。</w:t>
      </w:r>
    </w:p>
    <w:p>
      <w:pPr>
        <w:ind w:firstLine="560" w:firstLineChars="200"/>
        <w:rPr>
          <w:rFonts w:ascii="宋体" w:hAnsi="宋体" w:eastAsia="宋体" w:cs="Arial"/>
          <w:color w:val="000000"/>
          <w:sz w:val="28"/>
          <w:szCs w:val="28"/>
        </w:rPr>
      </w:pPr>
      <w:r>
        <w:rPr>
          <w:rFonts w:ascii="宋体" w:hAnsi="宋体" w:eastAsia="宋体" w:cs="Arial"/>
          <w:color w:val="000000"/>
          <w:sz w:val="28"/>
          <w:szCs w:val="28"/>
        </w:rPr>
        <w:t>2</w:t>
      </w:r>
      <w:r>
        <w:rPr>
          <w:rFonts w:hint="eastAsia" w:ascii="宋体" w:hAnsi="宋体" w:eastAsia="宋体" w:cs="Arial"/>
          <w:color w:val="000000"/>
          <w:sz w:val="28"/>
          <w:szCs w:val="28"/>
        </w:rPr>
        <w:t>．巡检保养（至少每季度一次）：设备巡检、除尘保养、现场勘察、设备移机；</w:t>
      </w:r>
    </w:p>
    <w:p>
      <w:pPr>
        <w:ind w:firstLine="560" w:firstLineChars="200"/>
        <w:rPr>
          <w:rFonts w:ascii="宋体" w:hAnsi="宋体" w:eastAsia="宋体" w:cs="Arial"/>
          <w:color w:val="000000"/>
          <w:sz w:val="28"/>
          <w:szCs w:val="28"/>
        </w:rPr>
      </w:pPr>
      <w:r>
        <w:rPr>
          <w:rFonts w:ascii="宋体" w:hAnsi="宋体" w:eastAsia="宋体" w:cs="Arial"/>
          <w:color w:val="000000"/>
          <w:sz w:val="28"/>
          <w:szCs w:val="28"/>
        </w:rPr>
        <w:t>3</w:t>
      </w:r>
      <w:r>
        <w:rPr>
          <w:rFonts w:hint="eastAsia" w:ascii="宋体" w:hAnsi="宋体" w:eastAsia="宋体" w:cs="Arial"/>
          <w:color w:val="000000"/>
          <w:sz w:val="28"/>
          <w:szCs w:val="28"/>
        </w:rPr>
        <w:t>．技术支持：技术咨询、技术培训、交换机配置调整优化、防火墙策略调整、虚拟化平台维护迁移、服务器优化、存储扩容；</w:t>
      </w:r>
    </w:p>
    <w:p>
      <w:pPr>
        <w:ind w:firstLine="560" w:firstLineChars="200"/>
        <w:rPr>
          <w:rFonts w:ascii="宋体" w:hAnsi="宋体" w:eastAsia="宋体" w:cs="Arial"/>
          <w:color w:val="000000"/>
          <w:sz w:val="28"/>
          <w:szCs w:val="28"/>
        </w:rPr>
      </w:pPr>
      <w:r>
        <w:rPr>
          <w:rFonts w:ascii="宋体" w:hAnsi="宋体" w:eastAsia="宋体" w:cs="Arial"/>
          <w:color w:val="000000"/>
          <w:sz w:val="28"/>
          <w:szCs w:val="28"/>
        </w:rPr>
        <w:t>4</w:t>
      </w:r>
      <w:r>
        <w:rPr>
          <w:rFonts w:hint="eastAsia" w:ascii="宋体" w:hAnsi="宋体" w:eastAsia="宋体" w:cs="Arial"/>
          <w:color w:val="000000"/>
          <w:sz w:val="28"/>
          <w:szCs w:val="28"/>
        </w:rPr>
        <w:t>．固件软件升级：固件软件新版本提醒、升级风险评估、升级维护；</w:t>
      </w:r>
    </w:p>
    <w:p>
      <w:pPr>
        <w:ind w:firstLine="560" w:firstLineChars="200"/>
        <w:rPr>
          <w:rFonts w:ascii="宋体" w:hAnsi="宋体" w:eastAsia="宋体" w:cs="Arial"/>
          <w:color w:val="000000"/>
          <w:sz w:val="28"/>
          <w:szCs w:val="28"/>
        </w:rPr>
      </w:pPr>
      <w:r>
        <w:rPr>
          <w:rFonts w:ascii="宋体" w:hAnsi="宋体" w:eastAsia="宋体" w:cs="Arial"/>
          <w:color w:val="000000"/>
          <w:sz w:val="28"/>
          <w:szCs w:val="28"/>
        </w:rPr>
        <w:t>5</w:t>
      </w:r>
      <w:r>
        <w:rPr>
          <w:rFonts w:hint="eastAsia" w:ascii="宋体" w:hAnsi="宋体" w:eastAsia="宋体" w:cs="Arial"/>
          <w:color w:val="000000"/>
          <w:sz w:val="28"/>
          <w:szCs w:val="28"/>
        </w:rPr>
        <w:t>．档案维护：维护档案建立、档案更新、配置备份；</w:t>
      </w:r>
    </w:p>
    <w:p>
      <w:pPr>
        <w:ind w:firstLine="560" w:firstLineChars="200"/>
        <w:rPr>
          <w:rFonts w:ascii="宋体" w:hAnsi="宋体" w:eastAsia="宋体" w:cs="Arial"/>
          <w:color w:val="000000"/>
          <w:sz w:val="28"/>
          <w:szCs w:val="28"/>
        </w:rPr>
      </w:pPr>
      <w:r>
        <w:rPr>
          <w:rFonts w:ascii="宋体" w:hAnsi="宋体" w:eastAsia="宋体" w:cs="Arial"/>
          <w:color w:val="000000"/>
          <w:sz w:val="28"/>
          <w:szCs w:val="28"/>
        </w:rPr>
        <w:t>6</w:t>
      </w:r>
      <w:r>
        <w:rPr>
          <w:rFonts w:hint="eastAsia" w:ascii="宋体" w:hAnsi="宋体" w:eastAsia="宋体" w:cs="Arial"/>
          <w:color w:val="000000"/>
          <w:sz w:val="28"/>
          <w:szCs w:val="28"/>
        </w:rPr>
        <w:t>．应急保障：用户方重大事件提供应急软硬件保障。</w:t>
      </w:r>
    </w:p>
    <w:p>
      <w:pPr>
        <w:pStyle w:val="2"/>
        <w:numPr>
          <w:ilvl w:val="0"/>
          <w:numId w:val="1"/>
        </w:numPr>
        <w:rPr>
          <w:rFonts w:ascii="宋体" w:hAnsi="宋体" w:eastAsia="宋体"/>
          <w:sz w:val="32"/>
          <w:szCs w:val="28"/>
        </w:rPr>
      </w:pPr>
      <w:r>
        <w:rPr>
          <w:rFonts w:hint="eastAsia" w:ascii="宋体" w:hAnsi="宋体" w:eastAsia="宋体"/>
          <w:sz w:val="32"/>
          <w:szCs w:val="28"/>
        </w:rPr>
        <w:t>服务响应要求</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中标单位提供</w:t>
      </w:r>
      <w:r>
        <w:rPr>
          <w:rFonts w:ascii="宋体" w:hAnsi="宋体" w:eastAsia="宋体" w:cs="Arial"/>
          <w:color w:val="000000"/>
          <w:sz w:val="28"/>
          <w:szCs w:val="28"/>
        </w:rPr>
        <w:t>7*24*365全天候响应，并安排专人负责协调项目的日常维护工作，维护工程师团队需固定可靠，必须掌握相关维护技术</w:t>
      </w:r>
      <w:r>
        <w:rPr>
          <w:rFonts w:hint="eastAsia" w:ascii="宋体" w:hAnsi="宋体" w:eastAsia="宋体" w:cs="Arial"/>
          <w:color w:val="000000"/>
          <w:sz w:val="28"/>
          <w:szCs w:val="28"/>
        </w:rPr>
        <w:t>，具备相关</w:t>
      </w:r>
      <w:r>
        <w:rPr>
          <w:rFonts w:ascii="宋体" w:hAnsi="宋体" w:eastAsia="宋体" w:cs="Arial"/>
          <w:color w:val="000000"/>
          <w:sz w:val="28"/>
          <w:szCs w:val="28"/>
        </w:rPr>
        <w:t>资质</w:t>
      </w:r>
      <w:r>
        <w:rPr>
          <w:rFonts w:hint="eastAsia" w:ascii="宋体" w:hAnsi="宋体" w:eastAsia="宋体" w:cs="Arial"/>
          <w:color w:val="000000"/>
          <w:sz w:val="28"/>
          <w:szCs w:val="28"/>
        </w:rPr>
        <w:t>。</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服务更换的零部件和软件必须是原厂商生产或认可的产品，不能影响客户方现有业务应用管理系统的正常运行。</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★为了保证原厂服务部件等产品的质量，要求中标单位在签订合同前提供H3C交换机、联想服务器、网神防火墙等原厂针对本项目的授权函原件。</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根据设备重要性级别，提供不同级别的服务响应。</w:t>
      </w:r>
    </w:p>
    <w:tbl>
      <w:tblPr>
        <w:tblStyle w:val="8"/>
        <w:tblW w:w="8385" w:type="dxa"/>
        <w:jc w:val="center"/>
        <w:tblInd w:w="0" w:type="dxa"/>
        <w:tblLayout w:type="fixed"/>
        <w:tblCellMar>
          <w:top w:w="0" w:type="dxa"/>
          <w:left w:w="108" w:type="dxa"/>
          <w:bottom w:w="0" w:type="dxa"/>
          <w:right w:w="108" w:type="dxa"/>
        </w:tblCellMar>
      </w:tblPr>
      <w:tblGrid>
        <w:gridCol w:w="2439"/>
        <w:gridCol w:w="5946"/>
      </w:tblGrid>
      <w:tr>
        <w:tblPrEx>
          <w:tblLayout w:type="fixed"/>
          <w:tblCellMar>
            <w:top w:w="0" w:type="dxa"/>
            <w:left w:w="108" w:type="dxa"/>
            <w:bottom w:w="0" w:type="dxa"/>
            <w:right w:w="108" w:type="dxa"/>
          </w:tblCellMar>
        </w:tblPrEx>
        <w:trPr>
          <w:trHeight w:val="285" w:hRule="atLeast"/>
          <w:jc w:val="center"/>
        </w:trPr>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8"/>
                <w:szCs w:val="28"/>
              </w:rPr>
            </w:pPr>
            <w:r>
              <w:rPr>
                <w:rFonts w:hint="eastAsia" w:ascii="宋体" w:hAnsi="宋体" w:eastAsia="宋体" w:cs="Arial"/>
                <w:color w:val="000000"/>
                <w:sz w:val="28"/>
                <w:szCs w:val="28"/>
              </w:rPr>
              <w:t>服务内容</w:t>
            </w:r>
          </w:p>
        </w:tc>
        <w:tc>
          <w:tcPr>
            <w:tcW w:w="594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8"/>
                <w:szCs w:val="28"/>
              </w:rPr>
            </w:pPr>
            <w:r>
              <w:rPr>
                <w:rFonts w:hint="eastAsia" w:ascii="宋体" w:hAnsi="宋体" w:eastAsia="宋体" w:cs="Arial"/>
                <w:color w:val="000000"/>
                <w:sz w:val="28"/>
                <w:szCs w:val="28"/>
              </w:rPr>
              <w:t>★响应要求</w:t>
            </w:r>
          </w:p>
        </w:tc>
      </w:tr>
      <w:tr>
        <w:tblPrEx>
          <w:tblLayout w:type="fixed"/>
          <w:tblCellMar>
            <w:top w:w="0" w:type="dxa"/>
            <w:left w:w="108" w:type="dxa"/>
            <w:bottom w:w="0" w:type="dxa"/>
            <w:right w:w="108" w:type="dxa"/>
          </w:tblCellMar>
        </w:tblPrEx>
        <w:trPr>
          <w:trHeight w:val="285" w:hRule="atLeast"/>
          <w:jc w:val="center"/>
        </w:trPr>
        <w:tc>
          <w:tcPr>
            <w:tcW w:w="243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8"/>
                <w:szCs w:val="28"/>
              </w:rPr>
            </w:pPr>
            <w:r>
              <w:rPr>
                <w:rFonts w:hint="eastAsia" w:ascii="宋体" w:hAnsi="宋体" w:eastAsia="宋体" w:cs="Arial"/>
                <w:color w:val="000000"/>
                <w:sz w:val="28"/>
                <w:szCs w:val="28"/>
              </w:rPr>
              <w:t>一级设备故障</w:t>
            </w:r>
          </w:p>
        </w:tc>
        <w:tc>
          <w:tcPr>
            <w:tcW w:w="5946"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8"/>
                <w:szCs w:val="28"/>
              </w:rPr>
            </w:pPr>
            <w:r>
              <w:rPr>
                <w:rFonts w:hint="eastAsia" w:ascii="宋体" w:hAnsi="宋体" w:eastAsia="宋体" w:cs="Arial"/>
                <w:color w:val="000000"/>
                <w:sz w:val="28"/>
                <w:szCs w:val="28"/>
              </w:rPr>
              <w:t>15分钟内响应，1小时内到达现场，8小时内修复故障或更换备件。</w:t>
            </w:r>
          </w:p>
        </w:tc>
      </w:tr>
      <w:tr>
        <w:tblPrEx>
          <w:tblLayout w:type="fixed"/>
          <w:tblCellMar>
            <w:top w:w="0" w:type="dxa"/>
            <w:left w:w="108" w:type="dxa"/>
            <w:bottom w:w="0" w:type="dxa"/>
            <w:right w:w="108" w:type="dxa"/>
          </w:tblCellMar>
        </w:tblPrEx>
        <w:trPr>
          <w:trHeight w:val="285" w:hRule="atLeast"/>
          <w:jc w:val="center"/>
        </w:trPr>
        <w:tc>
          <w:tcPr>
            <w:tcW w:w="243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8"/>
                <w:szCs w:val="28"/>
              </w:rPr>
            </w:pPr>
            <w:r>
              <w:rPr>
                <w:rFonts w:hint="eastAsia" w:ascii="宋体" w:hAnsi="宋体" w:eastAsia="宋体" w:cs="Arial"/>
                <w:color w:val="000000"/>
                <w:sz w:val="28"/>
                <w:szCs w:val="28"/>
              </w:rPr>
              <w:t>二级设备故障</w:t>
            </w:r>
          </w:p>
        </w:tc>
        <w:tc>
          <w:tcPr>
            <w:tcW w:w="5946"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8"/>
                <w:szCs w:val="28"/>
              </w:rPr>
            </w:pPr>
            <w:r>
              <w:rPr>
                <w:rFonts w:hint="eastAsia" w:ascii="宋体" w:hAnsi="宋体" w:eastAsia="宋体" w:cs="Arial"/>
                <w:color w:val="000000"/>
                <w:sz w:val="28"/>
                <w:szCs w:val="28"/>
              </w:rPr>
              <w:t>半小时内响应，2小时内到达现场，12小时内修复故障或更换备件。</w:t>
            </w:r>
          </w:p>
        </w:tc>
      </w:tr>
      <w:tr>
        <w:tblPrEx>
          <w:tblLayout w:type="fixed"/>
          <w:tblCellMar>
            <w:top w:w="0" w:type="dxa"/>
            <w:left w:w="108" w:type="dxa"/>
            <w:bottom w:w="0" w:type="dxa"/>
            <w:right w:w="108" w:type="dxa"/>
          </w:tblCellMar>
        </w:tblPrEx>
        <w:trPr>
          <w:trHeight w:val="285" w:hRule="atLeast"/>
          <w:jc w:val="center"/>
        </w:trPr>
        <w:tc>
          <w:tcPr>
            <w:tcW w:w="243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8"/>
                <w:szCs w:val="28"/>
              </w:rPr>
            </w:pPr>
            <w:r>
              <w:rPr>
                <w:rFonts w:hint="eastAsia" w:ascii="宋体" w:hAnsi="宋体" w:eastAsia="宋体" w:cs="Arial"/>
                <w:color w:val="000000"/>
                <w:sz w:val="28"/>
                <w:szCs w:val="28"/>
              </w:rPr>
              <w:t>三级设备故障</w:t>
            </w:r>
          </w:p>
        </w:tc>
        <w:tc>
          <w:tcPr>
            <w:tcW w:w="5946"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8"/>
                <w:szCs w:val="28"/>
              </w:rPr>
            </w:pPr>
            <w:r>
              <w:rPr>
                <w:rFonts w:hint="eastAsia" w:ascii="宋体" w:hAnsi="宋体" w:eastAsia="宋体" w:cs="Arial"/>
                <w:color w:val="000000"/>
                <w:sz w:val="28"/>
                <w:szCs w:val="28"/>
              </w:rPr>
              <w:t>半小时内响应，2小时内到达现场，16小时内修复故障或更换备件。</w:t>
            </w:r>
          </w:p>
        </w:tc>
      </w:tr>
      <w:tr>
        <w:tblPrEx>
          <w:tblLayout w:type="fixed"/>
          <w:tblCellMar>
            <w:top w:w="0" w:type="dxa"/>
            <w:left w:w="108" w:type="dxa"/>
            <w:bottom w:w="0" w:type="dxa"/>
            <w:right w:w="108" w:type="dxa"/>
          </w:tblCellMar>
        </w:tblPrEx>
        <w:trPr>
          <w:trHeight w:val="285" w:hRule="atLeast"/>
          <w:jc w:val="center"/>
        </w:trPr>
        <w:tc>
          <w:tcPr>
            <w:tcW w:w="243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8"/>
                <w:szCs w:val="28"/>
              </w:rPr>
            </w:pPr>
            <w:r>
              <w:rPr>
                <w:rFonts w:hint="eastAsia" w:ascii="宋体" w:hAnsi="宋体" w:eastAsia="宋体" w:cs="Arial"/>
                <w:color w:val="000000"/>
                <w:sz w:val="28"/>
                <w:szCs w:val="28"/>
              </w:rPr>
              <w:t>四级设备故障</w:t>
            </w:r>
          </w:p>
        </w:tc>
        <w:tc>
          <w:tcPr>
            <w:tcW w:w="5946"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8"/>
                <w:szCs w:val="28"/>
              </w:rPr>
            </w:pPr>
            <w:r>
              <w:rPr>
                <w:rFonts w:hint="eastAsia" w:ascii="宋体" w:hAnsi="宋体" w:eastAsia="宋体" w:cs="Arial"/>
                <w:color w:val="000000"/>
                <w:sz w:val="28"/>
                <w:szCs w:val="28"/>
              </w:rPr>
              <w:t>半小时内响应，4小时内到达现场，24小时内修复故障或更换备件。</w:t>
            </w:r>
          </w:p>
        </w:tc>
      </w:tr>
    </w:tbl>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设备巡检、保养除尘每月一次，并出具巡检报告。</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技术支持、固件软件升级、档案维护、应急保障等按需响应。</w:t>
      </w:r>
    </w:p>
    <w:p>
      <w:pPr>
        <w:pStyle w:val="2"/>
        <w:numPr>
          <w:ilvl w:val="0"/>
          <w:numId w:val="1"/>
        </w:numPr>
        <w:rPr>
          <w:rFonts w:ascii="宋体" w:hAnsi="宋体" w:eastAsia="宋体"/>
          <w:sz w:val="32"/>
          <w:szCs w:val="28"/>
        </w:rPr>
      </w:pPr>
      <w:r>
        <w:rPr>
          <w:rFonts w:hint="eastAsia" w:ascii="宋体" w:hAnsi="宋体" w:eastAsia="宋体"/>
          <w:sz w:val="32"/>
          <w:szCs w:val="28"/>
        </w:rPr>
        <w:t>付款方式</w:t>
      </w:r>
    </w:p>
    <w:p>
      <w:pPr>
        <w:ind w:firstLine="560" w:firstLineChars="200"/>
        <w:rPr>
          <w:rFonts w:ascii="宋体" w:hAnsi="宋体" w:eastAsia="宋体" w:cs="Arial"/>
          <w:color w:val="FF0000"/>
          <w:sz w:val="28"/>
          <w:szCs w:val="28"/>
        </w:rPr>
      </w:pPr>
      <w:r>
        <w:rPr>
          <w:rFonts w:hint="eastAsia" w:ascii="宋体" w:hAnsi="宋体" w:eastAsia="宋体" w:cs="Arial"/>
          <w:color w:val="FF0000"/>
          <w:sz w:val="28"/>
          <w:szCs w:val="28"/>
        </w:rPr>
        <w:t>合同签订后，按季度平均支付。</w:t>
      </w:r>
    </w:p>
    <w:p>
      <w:pPr>
        <w:pStyle w:val="2"/>
        <w:numPr>
          <w:ilvl w:val="0"/>
          <w:numId w:val="1"/>
        </w:numPr>
        <w:rPr>
          <w:rFonts w:ascii="宋体" w:hAnsi="宋体" w:eastAsia="宋体"/>
          <w:sz w:val="32"/>
          <w:szCs w:val="28"/>
        </w:rPr>
      </w:pPr>
      <w:r>
        <w:rPr>
          <w:rFonts w:hint="eastAsia" w:ascii="宋体" w:hAnsi="宋体" w:eastAsia="宋体"/>
          <w:sz w:val="32"/>
          <w:szCs w:val="28"/>
        </w:rPr>
        <w:t>服务考核评价机制</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为了使运维服务可量化和考核，中标单位必须以工单流转和当面评价相结合的机制完成所有服务工作。评价方法为每次工程师完成服务后，报结工单时客户须签字确认，并根据合同履行情况和服务质量由客户方代表或负责人在工单上完成服务评价（评价等级：好评、差评）。</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★中标方评议差评，则每次扣除合同总价的10%，如累计差评达到</w:t>
      </w:r>
      <w:r>
        <w:rPr>
          <w:rFonts w:ascii="宋体" w:hAnsi="宋体" w:eastAsia="宋体" w:cs="Arial"/>
          <w:color w:val="000000"/>
          <w:sz w:val="28"/>
          <w:szCs w:val="28"/>
        </w:rPr>
        <w:t>3</w:t>
      </w:r>
      <w:r>
        <w:rPr>
          <w:rFonts w:hint="eastAsia" w:ascii="宋体" w:hAnsi="宋体" w:eastAsia="宋体" w:cs="Arial"/>
          <w:color w:val="000000"/>
          <w:sz w:val="28"/>
          <w:szCs w:val="28"/>
        </w:rPr>
        <w:t>次，甲方则有权终止服务合同，不再支付剩余款项，并保留追究乙方相关经济赔偿和法律责任的权利。</w:t>
      </w:r>
    </w:p>
    <w:p>
      <w:pPr>
        <w:ind w:firstLine="560" w:firstLineChars="200"/>
        <w:rPr>
          <w:rFonts w:ascii="宋体" w:hAnsi="宋体" w:eastAsia="宋体" w:cs="Arial"/>
          <w:color w:val="000000"/>
          <w:sz w:val="28"/>
          <w:szCs w:val="28"/>
        </w:rPr>
      </w:pPr>
      <w:r>
        <w:rPr>
          <w:rFonts w:hint="eastAsia" w:ascii="宋体" w:hAnsi="宋体" w:eastAsia="宋体" w:cs="Arial"/>
          <w:color w:val="000000"/>
          <w:sz w:val="28"/>
          <w:szCs w:val="28"/>
        </w:rPr>
        <w:t>由于中标单位工作人员的过失、不能履行有关维保服务工作，蓄意破坏、泄密，造成客户方数据资源丢失、业务不能有效开展或其他严重影响客户方利益的，中标单位须承担全部经济和法律责任。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6939789"/>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7D"/>
    <w:multiLevelType w:val="multilevel"/>
    <w:tmpl w:val="01D90C7D"/>
    <w:lvl w:ilvl="0" w:tentative="0">
      <w:start w:val="1"/>
      <w:numFmt w:val="japaneseCounting"/>
      <w:lvlText w:val="%1、"/>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06B7"/>
    <w:rsid w:val="000C69EC"/>
    <w:rsid w:val="001403CD"/>
    <w:rsid w:val="00177C09"/>
    <w:rsid w:val="00182D4A"/>
    <w:rsid w:val="00194E5D"/>
    <w:rsid w:val="001B5366"/>
    <w:rsid w:val="001D2838"/>
    <w:rsid w:val="002209D4"/>
    <w:rsid w:val="002863CA"/>
    <w:rsid w:val="002B110A"/>
    <w:rsid w:val="002C65FF"/>
    <w:rsid w:val="002E1506"/>
    <w:rsid w:val="0032629A"/>
    <w:rsid w:val="00331F7A"/>
    <w:rsid w:val="0034731C"/>
    <w:rsid w:val="00360680"/>
    <w:rsid w:val="00417F04"/>
    <w:rsid w:val="004577EC"/>
    <w:rsid w:val="00466CE4"/>
    <w:rsid w:val="004E62E2"/>
    <w:rsid w:val="004F1483"/>
    <w:rsid w:val="00507E38"/>
    <w:rsid w:val="005530F4"/>
    <w:rsid w:val="005547C4"/>
    <w:rsid w:val="005A5DEF"/>
    <w:rsid w:val="005C49F4"/>
    <w:rsid w:val="005D0EB5"/>
    <w:rsid w:val="00607DD1"/>
    <w:rsid w:val="006A091A"/>
    <w:rsid w:val="006A4CA2"/>
    <w:rsid w:val="006E09A7"/>
    <w:rsid w:val="006E0AA0"/>
    <w:rsid w:val="006E1E77"/>
    <w:rsid w:val="00730987"/>
    <w:rsid w:val="00736807"/>
    <w:rsid w:val="0079408D"/>
    <w:rsid w:val="007B333B"/>
    <w:rsid w:val="00800CC7"/>
    <w:rsid w:val="0080461E"/>
    <w:rsid w:val="00854C3E"/>
    <w:rsid w:val="00871E9F"/>
    <w:rsid w:val="00877986"/>
    <w:rsid w:val="00880694"/>
    <w:rsid w:val="00892274"/>
    <w:rsid w:val="008A4F4A"/>
    <w:rsid w:val="008E4712"/>
    <w:rsid w:val="0093582E"/>
    <w:rsid w:val="009514CD"/>
    <w:rsid w:val="009650BF"/>
    <w:rsid w:val="00981892"/>
    <w:rsid w:val="009C38AE"/>
    <w:rsid w:val="00A02F22"/>
    <w:rsid w:val="00A50EDA"/>
    <w:rsid w:val="00A55369"/>
    <w:rsid w:val="00A74F97"/>
    <w:rsid w:val="00AB2E4A"/>
    <w:rsid w:val="00B87C13"/>
    <w:rsid w:val="00BB78ED"/>
    <w:rsid w:val="00BF31F3"/>
    <w:rsid w:val="00C2392C"/>
    <w:rsid w:val="00C34C6D"/>
    <w:rsid w:val="00C90CF4"/>
    <w:rsid w:val="00C96CD7"/>
    <w:rsid w:val="00CA13AA"/>
    <w:rsid w:val="00CC2143"/>
    <w:rsid w:val="00CC7530"/>
    <w:rsid w:val="00D150D8"/>
    <w:rsid w:val="00D40298"/>
    <w:rsid w:val="00D7485E"/>
    <w:rsid w:val="00D831FF"/>
    <w:rsid w:val="00DE446A"/>
    <w:rsid w:val="00DE49C3"/>
    <w:rsid w:val="00DF4953"/>
    <w:rsid w:val="00DF49F5"/>
    <w:rsid w:val="00EC5A14"/>
    <w:rsid w:val="00F406B7"/>
    <w:rsid w:val="00F57EA3"/>
    <w:rsid w:val="00F667F5"/>
    <w:rsid w:val="00F70880"/>
    <w:rsid w:val="00F95E5F"/>
    <w:rsid w:val="00FB03A6"/>
    <w:rsid w:val="00FB3644"/>
    <w:rsid w:val="00FD2150"/>
    <w:rsid w:val="3DDC61A4"/>
    <w:rsid w:val="61EC680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标题 Char"/>
    <w:basedOn w:val="7"/>
    <w:link w:val="6"/>
    <w:uiPriority w:val="10"/>
    <w:rPr>
      <w:rFonts w:asciiTheme="majorHAnsi" w:hAnsiTheme="majorHAnsi" w:eastAsiaTheme="majorEastAsia" w:cstheme="majorBidi"/>
      <w:b/>
      <w:bCs/>
      <w:sz w:val="32"/>
      <w:szCs w:val="32"/>
    </w:rPr>
  </w:style>
  <w:style w:type="character" w:customStyle="1" w:styleId="12">
    <w:name w:val="标题 1 Char"/>
    <w:basedOn w:val="7"/>
    <w:link w:val="2"/>
    <w:qFormat/>
    <w:uiPriority w:val="9"/>
    <w:rPr>
      <w:b/>
      <w:bCs/>
      <w:kern w:val="44"/>
      <w:sz w:val="44"/>
      <w:szCs w:val="44"/>
    </w:rPr>
  </w:style>
  <w:style w:type="paragraph" w:customStyle="1" w:styleId="13">
    <w:name w:val="List Paragraph"/>
    <w:basedOn w:val="1"/>
    <w:qFormat/>
    <w:uiPriority w:val="34"/>
    <w:pPr>
      <w:ind w:firstLine="420" w:firstLineChars="200"/>
    </w:pPr>
  </w:style>
  <w:style w:type="character" w:customStyle="1" w:styleId="14">
    <w:name w:val="标题 2 Char"/>
    <w:basedOn w:val="7"/>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273</Words>
  <Characters>1559</Characters>
  <Lines>12</Lines>
  <Paragraphs>3</Paragraphs>
  <ScaleCrop>false</ScaleCrop>
  <LinksUpToDate>false</LinksUpToDate>
  <CharactersWithSpaces>1829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2018-08-02T11:22:00Z</dcterms:created>
  <dc:creator>Bjill</dc:creator>
  <cp:lastModifiedBy>admin</cp:lastModifiedBy>
  <dcterms:modified xsi:type="dcterms:W3CDTF">2019-05-06T05:25:28Z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